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FA" w:rsidRDefault="00AA62FA" w:rsidP="000E2625">
      <w:pPr>
        <w:jc w:val="both"/>
      </w:pPr>
      <w:r>
        <w:t>PREGUNTA</w:t>
      </w:r>
    </w:p>
    <w:p w:rsidR="004A2761" w:rsidRDefault="00BE4D9D" w:rsidP="000E2625">
      <w:pPr>
        <w:jc w:val="both"/>
        <w:rPr>
          <w:rFonts w:ascii="Roboto" w:hAnsi="Roboto"/>
          <w:sz w:val="23"/>
          <w:szCs w:val="23"/>
        </w:rPr>
      </w:pPr>
      <w:r>
        <w:t> </w:t>
      </w:r>
      <w:r>
        <w:rPr>
          <w:rFonts w:ascii="Roboto" w:hAnsi="Roboto"/>
          <w:sz w:val="23"/>
          <w:szCs w:val="23"/>
        </w:rPr>
        <w:t>La crisis sanitaria del Coronavirus puede tener su reflejo en el informe de auditoría como un párrafo de incertidumbre material de empresa en funcionamiento, dependiendo del sector y de las circunstancias concretas. Suponiendo esa situación, sería compatible dicho párrafo con un AMRA por la existencia de un crédito fiscal</w:t>
      </w:r>
      <w:proofErr w:type="gramStart"/>
      <w:r>
        <w:rPr>
          <w:rFonts w:ascii="Roboto" w:hAnsi="Roboto"/>
          <w:sz w:val="23"/>
          <w:szCs w:val="23"/>
        </w:rPr>
        <w:t>?</w:t>
      </w:r>
      <w:proofErr w:type="gramEnd"/>
      <w:r>
        <w:rPr>
          <w:rFonts w:ascii="Roboto" w:hAnsi="Roboto"/>
          <w:sz w:val="23"/>
          <w:szCs w:val="23"/>
        </w:rPr>
        <w:t xml:space="preserve"> o la existencia de la incertidumbre material hace que la Activación del crédito fiscal debe ser considerada un incumplimiento y por tanto deba ser tratada como una salvedad?</w:t>
      </w:r>
    </w:p>
    <w:p w:rsidR="00AA62FA" w:rsidRDefault="00AA62FA" w:rsidP="000E2625">
      <w:pPr>
        <w:jc w:val="both"/>
        <w:rPr>
          <w:rFonts w:ascii="Roboto" w:hAnsi="Roboto"/>
          <w:sz w:val="23"/>
          <w:szCs w:val="23"/>
        </w:rPr>
      </w:pPr>
    </w:p>
    <w:p w:rsidR="00AA62FA" w:rsidRDefault="00AA62FA" w:rsidP="000E2625">
      <w:pPr>
        <w:jc w:val="both"/>
        <w:rPr>
          <w:rFonts w:ascii="Roboto" w:hAnsi="Roboto"/>
          <w:sz w:val="23"/>
          <w:szCs w:val="23"/>
        </w:rPr>
      </w:pPr>
      <w:r>
        <w:rPr>
          <w:rFonts w:ascii="Roboto" w:hAnsi="Roboto"/>
          <w:sz w:val="23"/>
          <w:szCs w:val="23"/>
        </w:rPr>
        <w:t>RESPUESTA</w:t>
      </w:r>
    </w:p>
    <w:p w:rsidR="001331DF" w:rsidRPr="001331DF" w:rsidRDefault="001331DF" w:rsidP="000E262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Los </w:t>
      </w:r>
      <w:r w:rsidRPr="000E2625">
        <w:rPr>
          <w:rFonts w:ascii="Times New Roman" w:eastAsia="Times New Roman" w:hAnsi="Times New Roman" w:cs="Times New Roman"/>
          <w:b/>
          <w:sz w:val="24"/>
          <w:szCs w:val="24"/>
          <w:lang w:eastAsia="es-ES"/>
        </w:rPr>
        <w:t>activos por impuestos diferidos</w:t>
      </w:r>
      <w:r>
        <w:rPr>
          <w:rFonts w:ascii="Times New Roman" w:eastAsia="Times New Roman" w:hAnsi="Times New Roman" w:cs="Times New Roman"/>
          <w:sz w:val="24"/>
          <w:szCs w:val="24"/>
          <w:lang w:eastAsia="es-ES"/>
        </w:rPr>
        <w:t xml:space="preserve"> se encuentran regulados en el </w:t>
      </w:r>
      <w:r w:rsidRPr="000E2625">
        <w:rPr>
          <w:rFonts w:ascii="Times New Roman" w:eastAsia="Times New Roman" w:hAnsi="Times New Roman" w:cs="Times New Roman"/>
          <w:b/>
          <w:sz w:val="24"/>
          <w:szCs w:val="24"/>
          <w:lang w:eastAsia="es-ES"/>
        </w:rPr>
        <w:t>PGC. NRV 13ª.2.3,</w:t>
      </w:r>
      <w:r>
        <w:rPr>
          <w:rFonts w:ascii="Times New Roman" w:eastAsia="Times New Roman" w:hAnsi="Times New Roman" w:cs="Times New Roman"/>
          <w:sz w:val="24"/>
          <w:szCs w:val="24"/>
          <w:lang w:eastAsia="es-ES"/>
        </w:rPr>
        <w:t xml:space="preserve"> y en el mismo se establece que s</w:t>
      </w:r>
      <w:r w:rsidRPr="001331DF">
        <w:rPr>
          <w:rFonts w:ascii="Times New Roman" w:eastAsia="Times New Roman" w:hAnsi="Times New Roman" w:cs="Times New Roman"/>
          <w:sz w:val="24"/>
          <w:szCs w:val="24"/>
          <w:lang w:eastAsia="es-ES"/>
        </w:rPr>
        <w:t>e reconoce un activo por impuesto diferido en los siguientes supuestos:</w:t>
      </w:r>
    </w:p>
    <w:p w:rsidR="001331DF" w:rsidRPr="001331DF" w:rsidRDefault="001331DF" w:rsidP="000E2625">
      <w:pPr>
        <w:spacing w:after="0" w:line="240" w:lineRule="auto"/>
        <w:jc w:val="both"/>
        <w:rPr>
          <w:rFonts w:ascii="Times New Roman" w:eastAsia="Times New Roman" w:hAnsi="Times New Roman" w:cs="Times New Roman"/>
          <w:sz w:val="24"/>
          <w:szCs w:val="24"/>
          <w:lang w:eastAsia="es-ES"/>
        </w:rPr>
      </w:pPr>
      <w:r w:rsidRPr="001331DF">
        <w:rPr>
          <w:rFonts w:ascii="Times New Roman" w:eastAsia="Times New Roman" w:hAnsi="Times New Roman" w:cs="Times New Roman"/>
          <w:sz w:val="24"/>
          <w:szCs w:val="24"/>
          <w:lang w:eastAsia="es-ES"/>
        </w:rPr>
        <w:t>–  por las diferencias temporarias deducibles;</w:t>
      </w:r>
    </w:p>
    <w:p w:rsidR="001331DF" w:rsidRPr="001331DF" w:rsidRDefault="001331DF" w:rsidP="000E2625">
      <w:pPr>
        <w:spacing w:after="0" w:line="240" w:lineRule="auto"/>
        <w:jc w:val="both"/>
        <w:rPr>
          <w:rFonts w:ascii="Times New Roman" w:eastAsia="Times New Roman" w:hAnsi="Times New Roman" w:cs="Times New Roman"/>
          <w:sz w:val="24"/>
          <w:szCs w:val="24"/>
          <w:lang w:eastAsia="es-ES"/>
        </w:rPr>
      </w:pPr>
      <w:r w:rsidRPr="001331DF">
        <w:rPr>
          <w:rFonts w:ascii="Times New Roman" w:eastAsia="Times New Roman" w:hAnsi="Times New Roman" w:cs="Times New Roman"/>
          <w:sz w:val="24"/>
          <w:szCs w:val="24"/>
          <w:lang w:eastAsia="es-ES"/>
        </w:rPr>
        <w:t>–  por el derecho a compensar pérdidas fiscales en ejercicios posteriores;</w:t>
      </w:r>
    </w:p>
    <w:p w:rsidR="001331DF" w:rsidRDefault="001331DF" w:rsidP="000E2625">
      <w:pPr>
        <w:spacing w:after="0" w:line="240" w:lineRule="auto"/>
        <w:jc w:val="both"/>
        <w:rPr>
          <w:rFonts w:ascii="Times New Roman" w:eastAsia="Times New Roman" w:hAnsi="Times New Roman" w:cs="Times New Roman"/>
          <w:sz w:val="24"/>
          <w:szCs w:val="24"/>
          <w:lang w:eastAsia="es-ES"/>
        </w:rPr>
      </w:pPr>
      <w:r w:rsidRPr="001331DF">
        <w:rPr>
          <w:rFonts w:ascii="Times New Roman" w:eastAsia="Times New Roman" w:hAnsi="Times New Roman" w:cs="Times New Roman"/>
          <w:sz w:val="24"/>
          <w:szCs w:val="24"/>
          <w:lang w:eastAsia="es-ES"/>
        </w:rPr>
        <w:t>–  por las deducciones y otras ventajas fiscales no utilizadas, que queden pendientes de aplicar fiscalmente.</w:t>
      </w:r>
    </w:p>
    <w:p w:rsidR="001331DF" w:rsidRPr="001331DF" w:rsidRDefault="001331DF" w:rsidP="000E2625">
      <w:pPr>
        <w:spacing w:after="0" w:line="240" w:lineRule="auto"/>
        <w:jc w:val="both"/>
        <w:rPr>
          <w:rFonts w:ascii="Times New Roman" w:eastAsia="Times New Roman" w:hAnsi="Times New Roman" w:cs="Times New Roman"/>
          <w:sz w:val="24"/>
          <w:szCs w:val="24"/>
          <w:lang w:eastAsia="es-ES"/>
        </w:rPr>
      </w:pPr>
    </w:p>
    <w:p w:rsidR="000C4820" w:rsidRDefault="001331DF" w:rsidP="000E2625">
      <w:pPr>
        <w:spacing w:after="0" w:line="240" w:lineRule="auto"/>
        <w:jc w:val="both"/>
        <w:rPr>
          <w:rFonts w:ascii="Times New Roman" w:eastAsia="Times New Roman" w:hAnsi="Times New Roman" w:cs="Times New Roman"/>
          <w:sz w:val="24"/>
          <w:szCs w:val="24"/>
          <w:lang w:eastAsia="es-ES"/>
        </w:rPr>
      </w:pPr>
      <w:r w:rsidRPr="001331DF">
        <w:rPr>
          <w:rFonts w:ascii="Times New Roman" w:eastAsia="Times New Roman" w:hAnsi="Times New Roman" w:cs="Times New Roman"/>
          <w:sz w:val="24"/>
          <w:szCs w:val="24"/>
          <w:lang w:eastAsia="es-ES"/>
        </w:rPr>
        <w:t xml:space="preserve">Los </w:t>
      </w:r>
      <w:r w:rsidRPr="001331DF">
        <w:rPr>
          <w:rFonts w:ascii="Times New Roman" w:eastAsia="Times New Roman" w:hAnsi="Times New Roman" w:cs="Times New Roman"/>
          <w:b/>
          <w:sz w:val="24"/>
          <w:szCs w:val="24"/>
          <w:lang w:eastAsia="es-ES"/>
        </w:rPr>
        <w:t>activos por impuesto diferido</w:t>
      </w:r>
      <w:r w:rsidRPr="001331DF">
        <w:rPr>
          <w:rFonts w:ascii="Times New Roman" w:eastAsia="Times New Roman" w:hAnsi="Times New Roman" w:cs="Times New Roman"/>
          <w:sz w:val="24"/>
          <w:szCs w:val="24"/>
          <w:lang w:eastAsia="es-ES"/>
        </w:rPr>
        <w:t xml:space="preserve"> suponen un importe a recuperar de la Hacienda Pública </w:t>
      </w:r>
      <w:r w:rsidRPr="001331DF">
        <w:rPr>
          <w:rFonts w:ascii="Times New Roman" w:eastAsia="Times New Roman" w:hAnsi="Times New Roman" w:cs="Times New Roman"/>
          <w:b/>
          <w:sz w:val="24"/>
          <w:szCs w:val="24"/>
          <w:lang w:eastAsia="es-ES"/>
        </w:rPr>
        <w:t>condicionado a que la empresa disponga en el futuro de ganancias fiscales que permitan la aplicación de estos activos.</w:t>
      </w:r>
    </w:p>
    <w:p w:rsidR="000C4820" w:rsidRDefault="000C4820" w:rsidP="000E2625">
      <w:pPr>
        <w:spacing w:after="0" w:line="240" w:lineRule="auto"/>
        <w:jc w:val="both"/>
        <w:rPr>
          <w:rFonts w:ascii="Times New Roman" w:eastAsia="Times New Roman" w:hAnsi="Times New Roman" w:cs="Times New Roman"/>
          <w:sz w:val="24"/>
          <w:szCs w:val="24"/>
          <w:lang w:eastAsia="es-ES"/>
        </w:rPr>
      </w:pPr>
    </w:p>
    <w:p w:rsidR="001331DF" w:rsidRDefault="001331DF" w:rsidP="000E2625">
      <w:pPr>
        <w:spacing w:after="0" w:line="240" w:lineRule="auto"/>
        <w:jc w:val="both"/>
        <w:rPr>
          <w:rFonts w:ascii="Times New Roman" w:eastAsia="Times New Roman" w:hAnsi="Times New Roman" w:cs="Times New Roman"/>
          <w:sz w:val="24"/>
          <w:szCs w:val="24"/>
          <w:lang w:eastAsia="es-ES"/>
        </w:rPr>
      </w:pPr>
      <w:r w:rsidRPr="001331DF">
        <w:rPr>
          <w:rFonts w:ascii="Times New Roman" w:eastAsia="Times New Roman" w:hAnsi="Times New Roman" w:cs="Times New Roman"/>
          <w:sz w:val="24"/>
          <w:szCs w:val="24"/>
          <w:lang w:eastAsia="es-ES"/>
        </w:rPr>
        <w:t xml:space="preserve">Como cautela, la norma establece que a </w:t>
      </w:r>
      <w:r w:rsidRPr="001331DF">
        <w:rPr>
          <w:rFonts w:ascii="Times New Roman" w:eastAsia="Times New Roman" w:hAnsi="Times New Roman" w:cs="Times New Roman"/>
          <w:b/>
          <w:sz w:val="24"/>
          <w:szCs w:val="24"/>
          <w:lang w:eastAsia="es-ES"/>
        </w:rPr>
        <w:t xml:space="preserve">la </w:t>
      </w:r>
      <w:r w:rsidRPr="00EC519E">
        <w:rPr>
          <w:rFonts w:ascii="Times New Roman" w:eastAsia="Times New Roman" w:hAnsi="Times New Roman" w:cs="Times New Roman"/>
          <w:b/>
          <w:sz w:val="24"/>
          <w:szCs w:val="24"/>
          <w:lang w:eastAsia="es-ES"/>
        </w:rPr>
        <w:t>fecha de cierre</w:t>
      </w:r>
      <w:r w:rsidRPr="001331DF">
        <w:rPr>
          <w:rFonts w:ascii="Times New Roman" w:eastAsia="Times New Roman" w:hAnsi="Times New Roman" w:cs="Times New Roman"/>
          <w:b/>
          <w:sz w:val="24"/>
          <w:szCs w:val="24"/>
          <w:lang w:eastAsia="es-ES"/>
        </w:rPr>
        <w:t xml:space="preserve"> de cada ejercicio la empresa debe reconsiderar los activos por impuesto diferido</w:t>
      </w:r>
      <w:r w:rsidRPr="001331DF">
        <w:rPr>
          <w:rFonts w:ascii="Times New Roman" w:eastAsia="Times New Roman" w:hAnsi="Times New Roman" w:cs="Times New Roman"/>
          <w:sz w:val="24"/>
          <w:szCs w:val="24"/>
          <w:lang w:eastAsia="es-ES"/>
        </w:rPr>
        <w:t xml:space="preserve"> reconocidos y los que no haya reconocido anteriormente. En ese momento, la empresa da de baja un activo reconocido anteriormente si ya no resulta probable su recuperación, o registra cualquier activo de esta naturaleza no reconocido anteriormente, siempre que resulte probable que la empresa disponga de ganancias fiscales futuras en cuantía suficiente que permitan su aplicación.</w:t>
      </w:r>
    </w:p>
    <w:p w:rsidR="000C4820" w:rsidRPr="001331DF" w:rsidRDefault="000C4820" w:rsidP="000E2625">
      <w:pPr>
        <w:spacing w:after="0" w:line="240" w:lineRule="auto"/>
        <w:jc w:val="both"/>
        <w:rPr>
          <w:rFonts w:ascii="Times New Roman" w:eastAsia="Times New Roman" w:hAnsi="Times New Roman" w:cs="Times New Roman"/>
          <w:sz w:val="24"/>
          <w:szCs w:val="24"/>
          <w:lang w:eastAsia="es-ES"/>
        </w:rPr>
      </w:pPr>
    </w:p>
    <w:p w:rsidR="000C4820" w:rsidRPr="000C4820" w:rsidRDefault="000C4820" w:rsidP="000E2625">
      <w:pPr>
        <w:spacing w:after="0" w:line="240" w:lineRule="auto"/>
        <w:jc w:val="both"/>
        <w:rPr>
          <w:rFonts w:ascii="Times New Roman" w:eastAsia="Times New Roman" w:hAnsi="Times New Roman" w:cs="Times New Roman"/>
          <w:sz w:val="24"/>
          <w:szCs w:val="24"/>
          <w:lang w:eastAsia="es-ES"/>
        </w:rPr>
      </w:pPr>
      <w:r w:rsidRPr="000C4820">
        <w:rPr>
          <w:rFonts w:ascii="Times New Roman" w:eastAsia="Times New Roman" w:hAnsi="Times New Roman" w:cs="Times New Roman"/>
          <w:sz w:val="24"/>
          <w:szCs w:val="24"/>
          <w:lang w:eastAsia="es-ES"/>
        </w:rPr>
        <w:t>En la normativa de desarrollo se establecen las siguientes matizaciones sobre el activo por impuesto diferido:</w:t>
      </w:r>
    </w:p>
    <w:p w:rsidR="000C4820" w:rsidRPr="000C4820" w:rsidRDefault="000C4820" w:rsidP="000E2625">
      <w:pPr>
        <w:spacing w:after="0" w:line="240" w:lineRule="auto"/>
        <w:jc w:val="both"/>
        <w:rPr>
          <w:rFonts w:ascii="Times New Roman" w:eastAsia="Times New Roman" w:hAnsi="Times New Roman" w:cs="Times New Roman"/>
          <w:sz w:val="24"/>
          <w:szCs w:val="24"/>
          <w:lang w:eastAsia="es-ES"/>
        </w:rPr>
      </w:pPr>
      <w:r w:rsidRPr="000C4820">
        <w:rPr>
          <w:rFonts w:ascii="Times New Roman" w:eastAsia="Times New Roman" w:hAnsi="Times New Roman" w:cs="Times New Roman"/>
          <w:sz w:val="24"/>
          <w:szCs w:val="24"/>
          <w:lang w:eastAsia="es-ES"/>
        </w:rPr>
        <w:t>–  No constituyen un derecho de cobro frente a la Administración tributaria</w:t>
      </w:r>
      <w:r w:rsidR="00EC519E">
        <w:rPr>
          <w:rFonts w:ascii="Times New Roman" w:eastAsia="Times New Roman" w:hAnsi="Times New Roman" w:cs="Times New Roman"/>
          <w:sz w:val="24"/>
          <w:szCs w:val="24"/>
          <w:lang w:eastAsia="es-ES"/>
        </w:rPr>
        <w:t xml:space="preserve"> (ICAC Resol 9-2-16 art.2.5)</w:t>
      </w:r>
      <w:r w:rsidRPr="000C4820">
        <w:rPr>
          <w:rFonts w:ascii="Times New Roman" w:eastAsia="Times New Roman" w:hAnsi="Times New Roman" w:cs="Times New Roman"/>
          <w:sz w:val="24"/>
          <w:szCs w:val="24"/>
          <w:lang w:eastAsia="es-ES"/>
        </w:rPr>
        <w:t>.</w:t>
      </w:r>
    </w:p>
    <w:p w:rsidR="000C4820" w:rsidRDefault="000C4820" w:rsidP="000E2625">
      <w:pPr>
        <w:spacing w:after="0" w:line="240" w:lineRule="auto"/>
        <w:jc w:val="both"/>
        <w:rPr>
          <w:rFonts w:ascii="Times New Roman" w:eastAsia="Times New Roman" w:hAnsi="Times New Roman" w:cs="Times New Roman"/>
          <w:sz w:val="24"/>
          <w:szCs w:val="24"/>
          <w:lang w:eastAsia="es-ES"/>
        </w:rPr>
      </w:pPr>
      <w:r w:rsidRPr="000C4820">
        <w:rPr>
          <w:rFonts w:ascii="Times New Roman" w:eastAsia="Times New Roman" w:hAnsi="Times New Roman" w:cs="Times New Roman"/>
          <w:sz w:val="24"/>
          <w:szCs w:val="24"/>
          <w:lang w:eastAsia="es-ES"/>
        </w:rPr>
        <w:t xml:space="preserve">–  De acuerdo con el </w:t>
      </w:r>
      <w:r w:rsidRPr="000C4820">
        <w:rPr>
          <w:rFonts w:ascii="Times New Roman" w:eastAsia="Times New Roman" w:hAnsi="Times New Roman" w:cs="Times New Roman"/>
          <w:b/>
          <w:sz w:val="24"/>
          <w:szCs w:val="24"/>
          <w:lang w:eastAsia="es-ES"/>
        </w:rPr>
        <w:t>principio de prudencia el reconocimiento solo se produce si resulta probable que la empresa disponga de ganancias fiscales futuras que permitan la aplicación de estos activos.</w:t>
      </w:r>
      <w:r w:rsidRPr="000C4820">
        <w:rPr>
          <w:rFonts w:ascii="Times New Roman" w:eastAsia="Times New Roman" w:hAnsi="Times New Roman" w:cs="Times New Roman"/>
          <w:sz w:val="24"/>
          <w:szCs w:val="24"/>
          <w:lang w:eastAsia="es-ES"/>
        </w:rPr>
        <w:t xml:space="preserve"> Se considera que concurre esta circunstancia cuando la legislación fiscal contemple la posibilidad de conversión futura de activos por impuesto diferido en un crédito exigible frente a la Administración tributaria, respecto a los activos susceptibles de conversión</w:t>
      </w:r>
      <w:r w:rsidR="00EC519E">
        <w:rPr>
          <w:rFonts w:ascii="Times New Roman" w:eastAsia="Times New Roman" w:hAnsi="Times New Roman" w:cs="Times New Roman"/>
          <w:sz w:val="24"/>
          <w:szCs w:val="24"/>
          <w:lang w:eastAsia="es-ES"/>
        </w:rPr>
        <w:t xml:space="preserve"> (ICAC Resol 9-2-16 art.5.1)</w:t>
      </w:r>
    </w:p>
    <w:p w:rsidR="000F1E86" w:rsidRDefault="000F1E86" w:rsidP="000E2625">
      <w:pPr>
        <w:spacing w:after="0" w:line="240" w:lineRule="auto"/>
        <w:jc w:val="both"/>
        <w:rPr>
          <w:rFonts w:ascii="Times New Roman" w:eastAsia="Times New Roman" w:hAnsi="Times New Roman" w:cs="Times New Roman"/>
          <w:sz w:val="24"/>
          <w:szCs w:val="24"/>
          <w:lang w:eastAsia="es-ES"/>
        </w:rPr>
      </w:pPr>
    </w:p>
    <w:p w:rsidR="00AA62FA" w:rsidRPr="000F1E86" w:rsidRDefault="000F1E86" w:rsidP="000E2625">
      <w:pPr>
        <w:spacing w:after="0" w:line="240" w:lineRule="auto"/>
        <w:jc w:val="both"/>
        <w:rPr>
          <w:rFonts w:ascii="Times New Roman" w:eastAsia="Times New Roman" w:hAnsi="Times New Roman" w:cs="Times New Roman"/>
          <w:sz w:val="24"/>
          <w:szCs w:val="24"/>
          <w:lang w:eastAsia="es-ES"/>
        </w:rPr>
      </w:pPr>
      <w:r w:rsidRPr="000F1E86">
        <w:rPr>
          <w:rFonts w:ascii="Times New Roman" w:eastAsia="Times New Roman" w:hAnsi="Times New Roman" w:cs="Times New Roman"/>
          <w:sz w:val="24"/>
          <w:szCs w:val="24"/>
          <w:lang w:eastAsia="es-ES"/>
        </w:rPr>
        <w:t>-</w:t>
      </w:r>
      <w:r w:rsidRPr="000F1E86">
        <w:rPr>
          <w:rFonts w:ascii="Times New Roman" w:hAnsi="Times New Roman" w:cs="Times New Roman"/>
          <w:sz w:val="24"/>
          <w:szCs w:val="24"/>
        </w:rPr>
        <w:t xml:space="preserve">Salvo prueba en contrario, se considera que </w:t>
      </w:r>
      <w:r w:rsidRPr="00EC519E">
        <w:rPr>
          <w:rStyle w:val="txtbold"/>
          <w:rFonts w:ascii="Times New Roman" w:hAnsi="Times New Roman" w:cs="Times New Roman"/>
          <w:b/>
          <w:sz w:val="24"/>
          <w:szCs w:val="24"/>
        </w:rPr>
        <w:t>no es probable que disponga de ganancias fiscales</w:t>
      </w:r>
      <w:r w:rsidRPr="00EC519E">
        <w:rPr>
          <w:rFonts w:ascii="Times New Roman" w:hAnsi="Times New Roman" w:cs="Times New Roman"/>
          <w:b/>
          <w:sz w:val="24"/>
          <w:szCs w:val="24"/>
        </w:rPr>
        <w:t xml:space="preserve"> futuras</w:t>
      </w:r>
      <w:r w:rsidRPr="000F1E86">
        <w:rPr>
          <w:rFonts w:ascii="Times New Roman" w:hAnsi="Times New Roman" w:cs="Times New Roman"/>
          <w:sz w:val="24"/>
          <w:szCs w:val="24"/>
        </w:rPr>
        <w:t xml:space="preserve"> en los siguientes supuestos (i) cuando se prevea que su recuperación </w:t>
      </w:r>
      <w:r w:rsidRPr="00EC519E">
        <w:rPr>
          <w:rFonts w:ascii="Times New Roman" w:hAnsi="Times New Roman" w:cs="Times New Roman"/>
          <w:b/>
          <w:sz w:val="24"/>
          <w:szCs w:val="24"/>
        </w:rPr>
        <w:t>futura se va a producir en un plazo superior a los diez años</w:t>
      </w:r>
      <w:r w:rsidRPr="000F1E86">
        <w:rPr>
          <w:rFonts w:ascii="Times New Roman" w:hAnsi="Times New Roman" w:cs="Times New Roman"/>
          <w:sz w:val="24"/>
          <w:szCs w:val="24"/>
        </w:rPr>
        <w:t xml:space="preserve"> contados desde la fecha de cierre del ejercicio, al margen de cuál sea la naturaleza del activo por impuesto diferido; (</w:t>
      </w:r>
      <w:proofErr w:type="spellStart"/>
      <w:r w:rsidRPr="000F1E86">
        <w:rPr>
          <w:rFonts w:ascii="Times New Roman" w:hAnsi="Times New Roman" w:cs="Times New Roman"/>
          <w:sz w:val="24"/>
          <w:szCs w:val="24"/>
        </w:rPr>
        <w:t>ii</w:t>
      </w:r>
      <w:proofErr w:type="spellEnd"/>
      <w:r w:rsidRPr="000F1E86">
        <w:rPr>
          <w:rFonts w:ascii="Times New Roman" w:hAnsi="Times New Roman" w:cs="Times New Roman"/>
          <w:sz w:val="24"/>
          <w:szCs w:val="24"/>
        </w:rPr>
        <w:t xml:space="preserve">) en el caso de tratarse de créditos derivados de deducciones y otras ventajas fiscales pendientes de aplicar fiscalmente por insuficiencia de cuota, </w:t>
      </w:r>
      <w:r w:rsidRPr="000F1E86">
        <w:rPr>
          <w:rFonts w:ascii="Times New Roman" w:hAnsi="Times New Roman" w:cs="Times New Roman"/>
          <w:sz w:val="24"/>
          <w:szCs w:val="24"/>
        </w:rPr>
        <w:lastRenderedPageBreak/>
        <w:t xml:space="preserve">cuando habiéndose producido la actividad u obtenido el rendimiento que origine el derecho a la deducción o bonificación, existan dudas razonables </w:t>
      </w:r>
      <w:r>
        <w:t>sobre el cumplimiento de los requisitos para hacerlas efectivas</w:t>
      </w:r>
      <w:r w:rsidR="00EC519E">
        <w:t xml:space="preserve"> (ICAC Resol 9-2-16 art.5.3)</w:t>
      </w:r>
      <w:r>
        <w:t>.</w:t>
      </w:r>
      <w:r>
        <w:br/>
      </w:r>
      <w:r w:rsidRPr="000F1E86">
        <w:rPr>
          <w:rFonts w:ascii="Times New Roman" w:hAnsi="Times New Roman" w:cs="Times New Roman"/>
          <w:sz w:val="24"/>
          <w:szCs w:val="24"/>
        </w:rPr>
        <w:t xml:space="preserve">Así, el </w:t>
      </w:r>
      <w:r w:rsidRPr="00EC519E">
        <w:rPr>
          <w:rStyle w:val="txtbold"/>
          <w:rFonts w:ascii="Times New Roman" w:hAnsi="Times New Roman" w:cs="Times New Roman"/>
          <w:b/>
          <w:sz w:val="24"/>
          <w:szCs w:val="24"/>
        </w:rPr>
        <w:t>límite temporal de diez años</w:t>
      </w:r>
      <w:r w:rsidRPr="00EC519E">
        <w:rPr>
          <w:rFonts w:ascii="Times New Roman" w:hAnsi="Times New Roman" w:cs="Times New Roman"/>
          <w:b/>
          <w:sz w:val="24"/>
          <w:szCs w:val="24"/>
        </w:rPr>
        <w:t xml:space="preserve">, contados desde la fecha de cierre del ejercicio, al que debe extenderse el análisis sobre la recuperación de todos los activos por impuesto diferido se revisa. Se mantiene como referente, pero puede superarse si la empresa aporta una clara evidencia de la recuperación de sus activos por impuesto diferido en un plazo temporal superior </w:t>
      </w:r>
      <w:r w:rsidRPr="000F1E86">
        <w:rPr>
          <w:rFonts w:ascii="Times New Roman" w:hAnsi="Times New Roman" w:cs="Times New Roman"/>
          <w:sz w:val="24"/>
          <w:szCs w:val="24"/>
        </w:rPr>
        <w:t>(ICAC Resol 9-2-16</w:t>
      </w:r>
      <w:r w:rsidR="00EC519E">
        <w:rPr>
          <w:rFonts w:ascii="Times New Roman" w:hAnsi="Times New Roman" w:cs="Times New Roman"/>
          <w:sz w:val="24"/>
          <w:szCs w:val="24"/>
        </w:rPr>
        <w:t xml:space="preserve"> art 5.3.a y 4.b y Exposición de motivos)</w:t>
      </w:r>
      <w:r w:rsidR="00EC519E">
        <w:rPr>
          <w:rStyle w:val="link-image"/>
          <w:rFonts w:ascii="Times New Roman" w:hAnsi="Times New Roman" w:cs="Times New Roman"/>
          <w:sz w:val="24"/>
          <w:szCs w:val="24"/>
        </w:rPr>
        <w:t>.</w:t>
      </w:r>
    </w:p>
    <w:p w:rsidR="00BE4D9D" w:rsidRDefault="00BE4D9D" w:rsidP="000E2625">
      <w:pPr>
        <w:jc w:val="both"/>
        <w:rPr>
          <w:rFonts w:ascii="Roboto" w:hAnsi="Roboto"/>
          <w:sz w:val="23"/>
          <w:szCs w:val="23"/>
        </w:rPr>
      </w:pPr>
    </w:p>
    <w:p w:rsidR="00603638" w:rsidRDefault="0044763B" w:rsidP="000E2625">
      <w:pPr>
        <w:jc w:val="both"/>
      </w:pPr>
      <w:r w:rsidRPr="0044763B">
        <w:rPr>
          <w:rFonts w:ascii="Times New Roman" w:hAnsi="Times New Roman" w:cs="Times New Roman"/>
          <w:sz w:val="24"/>
          <w:szCs w:val="24"/>
        </w:rPr>
        <w:t xml:space="preserve">-En la </w:t>
      </w:r>
      <w:r w:rsidRPr="0044763B">
        <w:rPr>
          <w:rStyle w:val="txtbold"/>
          <w:rFonts w:ascii="Times New Roman" w:hAnsi="Times New Roman" w:cs="Times New Roman"/>
          <w:sz w:val="24"/>
          <w:szCs w:val="24"/>
        </w:rPr>
        <w:t>fecha de cierre</w:t>
      </w:r>
      <w:r w:rsidRPr="0044763B">
        <w:rPr>
          <w:rFonts w:ascii="Times New Roman" w:hAnsi="Times New Roman" w:cs="Times New Roman"/>
          <w:sz w:val="24"/>
          <w:szCs w:val="24"/>
        </w:rPr>
        <w:t xml:space="preserve"> de cada ejercicio, la empresa debe reconsiderar la contabilización de todos los activos por impuesto diferido. Por lo tanto, en ese momento, la empresa debe dar de baja un activo reconocido con anterioridad si ya no resulta probable su recuperación, o registrar cualquier activo de esta naturaleza no reconocido previamente, siempre que resulte probable que la empresa disponga de ganancias fiscales futuras en cuantía suficiente que permitan su aplicación y se cumplan las demás reglas</w:t>
      </w:r>
      <w:r w:rsidR="00EC519E">
        <w:rPr>
          <w:rFonts w:ascii="Times New Roman" w:hAnsi="Times New Roman" w:cs="Times New Roman"/>
          <w:sz w:val="24"/>
          <w:szCs w:val="24"/>
        </w:rPr>
        <w:t xml:space="preserve"> (ICAC </w:t>
      </w:r>
      <w:proofErr w:type="spellStart"/>
      <w:r w:rsidR="00EC519E">
        <w:rPr>
          <w:rFonts w:ascii="Times New Roman" w:hAnsi="Times New Roman" w:cs="Times New Roman"/>
          <w:sz w:val="24"/>
          <w:szCs w:val="24"/>
        </w:rPr>
        <w:t>Reol</w:t>
      </w:r>
      <w:proofErr w:type="spellEnd"/>
      <w:r w:rsidR="00EC519E">
        <w:rPr>
          <w:rFonts w:ascii="Times New Roman" w:hAnsi="Times New Roman" w:cs="Times New Roman"/>
          <w:sz w:val="24"/>
          <w:szCs w:val="24"/>
        </w:rPr>
        <w:t xml:space="preserve"> 9-2-16 art.5.8)</w:t>
      </w:r>
      <w:r w:rsidRPr="0044763B">
        <w:rPr>
          <w:rFonts w:ascii="Times New Roman" w:hAnsi="Times New Roman" w:cs="Times New Roman"/>
          <w:sz w:val="24"/>
          <w:szCs w:val="24"/>
        </w:rPr>
        <w:t xml:space="preserve"> </w:t>
      </w:r>
      <w:r w:rsidR="00603638" w:rsidRPr="00603638">
        <w:t xml:space="preserve"> </w:t>
      </w:r>
      <w:r w:rsidR="00603638">
        <w:t>  </w:t>
      </w:r>
    </w:p>
    <w:p w:rsidR="00BE4D9D" w:rsidRDefault="00603638" w:rsidP="000E2625">
      <w:pPr>
        <w:jc w:val="both"/>
        <w:rPr>
          <w:rFonts w:ascii="Times New Roman" w:hAnsi="Times New Roman" w:cs="Times New Roman"/>
          <w:sz w:val="24"/>
          <w:szCs w:val="24"/>
        </w:rPr>
      </w:pPr>
      <w:r w:rsidRPr="00603638">
        <w:rPr>
          <w:rFonts w:ascii="Times New Roman" w:hAnsi="Times New Roman" w:cs="Times New Roman"/>
          <w:sz w:val="24"/>
          <w:szCs w:val="24"/>
        </w:rPr>
        <w:t xml:space="preserve">- En relación con el </w:t>
      </w:r>
      <w:r w:rsidRPr="00603638">
        <w:rPr>
          <w:rStyle w:val="txtbold"/>
          <w:rFonts w:ascii="Times New Roman" w:hAnsi="Times New Roman" w:cs="Times New Roman"/>
          <w:sz w:val="24"/>
          <w:szCs w:val="24"/>
        </w:rPr>
        <w:t>derecho a compensar pérdidas fiscales</w:t>
      </w:r>
      <w:r w:rsidRPr="00603638">
        <w:rPr>
          <w:rFonts w:ascii="Times New Roman" w:hAnsi="Times New Roman" w:cs="Times New Roman"/>
          <w:sz w:val="24"/>
          <w:szCs w:val="24"/>
        </w:rPr>
        <w:t xml:space="preserve">: (i) </w:t>
      </w:r>
      <w:r w:rsidRPr="001054E0">
        <w:rPr>
          <w:rFonts w:ascii="Times New Roman" w:hAnsi="Times New Roman" w:cs="Times New Roman"/>
          <w:b/>
          <w:sz w:val="24"/>
          <w:szCs w:val="24"/>
        </w:rPr>
        <w:t>la obtención de un resultado de explotación negativo en un ejercicio no impide el reconocimiento de un activo por impuesto diferido.</w:t>
      </w:r>
      <w:r w:rsidRPr="00603638">
        <w:rPr>
          <w:rFonts w:ascii="Times New Roman" w:hAnsi="Times New Roman" w:cs="Times New Roman"/>
          <w:sz w:val="24"/>
          <w:szCs w:val="24"/>
        </w:rPr>
        <w:t xml:space="preserve"> No obstante, cuando la empresa muestre un historial de pérdidas continuas, se presume, salvo prueba en contrario, que no es probable la obtención de ganancias que permitan compensar las citadas bases; (</w:t>
      </w:r>
      <w:proofErr w:type="spellStart"/>
      <w:r w:rsidRPr="00603638">
        <w:rPr>
          <w:rFonts w:ascii="Times New Roman" w:hAnsi="Times New Roman" w:cs="Times New Roman"/>
          <w:sz w:val="24"/>
          <w:szCs w:val="24"/>
        </w:rPr>
        <w:t>ii</w:t>
      </w:r>
      <w:proofErr w:type="spellEnd"/>
      <w:r w:rsidRPr="00603638">
        <w:rPr>
          <w:rFonts w:ascii="Times New Roman" w:hAnsi="Times New Roman" w:cs="Times New Roman"/>
          <w:sz w:val="24"/>
          <w:szCs w:val="24"/>
        </w:rPr>
        <w:t xml:space="preserve">) para poder reconocer un activo debe ser probable que la empresa vaya a obtener beneficios fiscales que permitan compensar las citadas bases imponible negativas en un plazo no superior al previsto en la legislación fiscal, con el límite máximo de diez años contados desde la fecha de cierre del ejercicio, salvo prueba de que será probable su recuperación en un plazo mayor, en aquellos casos en los que la legislación tributaria permita compensar en plazos superiores o no establezca un límite temporal para poder practicar la compensación </w:t>
      </w:r>
      <w:r w:rsidR="00EC519E">
        <w:rPr>
          <w:rFonts w:ascii="Times New Roman" w:hAnsi="Times New Roman" w:cs="Times New Roman"/>
          <w:sz w:val="24"/>
          <w:szCs w:val="24"/>
        </w:rPr>
        <w:t>(ICAC Resol 9-2-16 art. 5.4)</w:t>
      </w:r>
      <w:r w:rsidRPr="00603638">
        <w:rPr>
          <w:rFonts w:ascii="Times New Roman" w:hAnsi="Times New Roman" w:cs="Times New Roman"/>
          <w:sz w:val="24"/>
          <w:szCs w:val="24"/>
        </w:rPr>
        <w:t>.</w:t>
      </w:r>
      <w:r w:rsidRPr="00603638">
        <w:rPr>
          <w:rFonts w:ascii="Times New Roman" w:hAnsi="Times New Roman" w:cs="Times New Roman"/>
          <w:sz w:val="24"/>
          <w:szCs w:val="24"/>
        </w:rPr>
        <w:br/>
      </w:r>
      <w:r w:rsidRPr="001054E0">
        <w:rPr>
          <w:rFonts w:ascii="Times New Roman" w:hAnsi="Times New Roman" w:cs="Times New Roman"/>
          <w:b/>
          <w:sz w:val="24"/>
          <w:szCs w:val="24"/>
        </w:rPr>
        <w:t>En todo caso, el plan de negocio empleado por la empresa para realizar sus estimaciones sobre las ganancias fiscales futuras debe ser acorde con la realidad del mercado y las especificidades de la entidad</w:t>
      </w:r>
      <w:r w:rsidRPr="00603638">
        <w:rPr>
          <w:rFonts w:ascii="Times New Roman" w:hAnsi="Times New Roman" w:cs="Times New Roman"/>
          <w:sz w:val="24"/>
          <w:szCs w:val="24"/>
        </w:rPr>
        <w:t xml:space="preserve"> </w:t>
      </w:r>
      <w:proofErr w:type="gramStart"/>
      <w:r w:rsidR="005B0F48">
        <w:rPr>
          <w:rFonts w:ascii="Times New Roman" w:hAnsi="Times New Roman" w:cs="Times New Roman"/>
          <w:sz w:val="24"/>
          <w:szCs w:val="24"/>
        </w:rPr>
        <w:t>( ICAC</w:t>
      </w:r>
      <w:proofErr w:type="gramEnd"/>
      <w:r w:rsidR="005B0F48">
        <w:rPr>
          <w:rFonts w:ascii="Times New Roman" w:hAnsi="Times New Roman" w:cs="Times New Roman"/>
          <w:sz w:val="24"/>
          <w:szCs w:val="24"/>
        </w:rPr>
        <w:t xml:space="preserve"> Resol 9-2-16 art 5.5)</w:t>
      </w:r>
    </w:p>
    <w:p w:rsidR="00E645F3" w:rsidRDefault="00E645F3" w:rsidP="000E2625">
      <w:pPr>
        <w:jc w:val="both"/>
        <w:rPr>
          <w:rFonts w:ascii="Times New Roman" w:hAnsi="Times New Roman" w:cs="Times New Roman"/>
          <w:sz w:val="24"/>
          <w:szCs w:val="24"/>
        </w:rPr>
      </w:pPr>
    </w:p>
    <w:p w:rsidR="00B84BA8" w:rsidRPr="00B84BA8" w:rsidRDefault="00E645F3" w:rsidP="000E2625">
      <w:pPr>
        <w:jc w:val="both"/>
        <w:rPr>
          <w:rFonts w:ascii="Times New Roman" w:hAnsi="Times New Roman" w:cs="Times New Roman"/>
          <w:sz w:val="24"/>
          <w:szCs w:val="24"/>
        </w:rPr>
      </w:pPr>
      <w:r w:rsidRPr="00B84BA8">
        <w:rPr>
          <w:rFonts w:ascii="Times New Roman" w:hAnsi="Times New Roman" w:cs="Times New Roman"/>
          <w:sz w:val="24"/>
          <w:szCs w:val="24"/>
        </w:rPr>
        <w:t>Por otro lado</w:t>
      </w:r>
      <w:r w:rsidR="00EA15BC" w:rsidRPr="00B84BA8">
        <w:rPr>
          <w:rFonts w:ascii="Times New Roman" w:hAnsi="Times New Roman" w:cs="Times New Roman"/>
          <w:sz w:val="24"/>
          <w:szCs w:val="24"/>
        </w:rPr>
        <w:t xml:space="preserve"> y como ya se ha comentado en la </w:t>
      </w:r>
      <w:hyperlink r:id="rId7" w:history="1">
        <w:r w:rsidR="00EA15BC" w:rsidRPr="00CD50CB">
          <w:rPr>
            <w:rStyle w:val="Hipervnculo"/>
            <w:rFonts w:ascii="Times New Roman" w:hAnsi="Times New Roman" w:cs="Times New Roman"/>
            <w:sz w:val="24"/>
            <w:szCs w:val="24"/>
          </w:rPr>
          <w:t>Comunicación del departamento técnico nº 102,</w:t>
        </w:r>
      </w:hyperlink>
      <w:r w:rsidR="00EA15BC" w:rsidRPr="00B84BA8">
        <w:rPr>
          <w:rFonts w:ascii="Times New Roman" w:hAnsi="Times New Roman" w:cs="Times New Roman"/>
          <w:sz w:val="24"/>
          <w:szCs w:val="24"/>
        </w:rPr>
        <w:t xml:space="preserve"> entre las consideraciones de </w:t>
      </w:r>
      <w:proofErr w:type="spellStart"/>
      <w:r w:rsidR="00EA15BC" w:rsidRPr="00B84BA8">
        <w:rPr>
          <w:rFonts w:ascii="Times New Roman" w:hAnsi="Times New Roman" w:cs="Times New Roman"/>
          <w:sz w:val="24"/>
          <w:szCs w:val="24"/>
        </w:rPr>
        <w:t>a</w:t>
      </w:r>
      <w:r w:rsidR="00FE5112">
        <w:rPr>
          <w:rFonts w:ascii="Times New Roman" w:hAnsi="Times New Roman" w:cs="Times New Roman"/>
          <w:sz w:val="24"/>
          <w:szCs w:val="24"/>
        </w:rPr>
        <w:t>uditoria</w:t>
      </w:r>
      <w:proofErr w:type="spellEnd"/>
      <w:r w:rsidR="00FE5112">
        <w:rPr>
          <w:rFonts w:ascii="Times New Roman" w:hAnsi="Times New Roman" w:cs="Times New Roman"/>
          <w:sz w:val="24"/>
          <w:szCs w:val="24"/>
        </w:rPr>
        <w:t xml:space="preserve"> que se deben tener en cuenta</w:t>
      </w:r>
      <w:r w:rsidR="00EA15BC" w:rsidRPr="00B84BA8">
        <w:rPr>
          <w:rFonts w:ascii="Times New Roman" w:hAnsi="Times New Roman" w:cs="Times New Roman"/>
          <w:sz w:val="24"/>
          <w:szCs w:val="24"/>
        </w:rPr>
        <w:t xml:space="preserve"> a la hora de valorar los efectos del COVID-19 se encuentra el de analizar con riguroso escepticismo los planes de contingencias previstos o elaborados por las empresas, bajo la perspectiva</w:t>
      </w:r>
      <w:r w:rsidR="00B84BA8" w:rsidRPr="00B84BA8">
        <w:rPr>
          <w:rFonts w:ascii="Times New Roman" w:hAnsi="Times New Roman" w:cs="Times New Roman"/>
          <w:sz w:val="24"/>
          <w:szCs w:val="24"/>
        </w:rPr>
        <w:t xml:space="preserve"> del principio de </w:t>
      </w:r>
      <w:r w:rsidR="00EA15BC" w:rsidRPr="00B84BA8">
        <w:rPr>
          <w:rFonts w:ascii="Times New Roman" w:hAnsi="Times New Roman" w:cs="Times New Roman"/>
          <w:sz w:val="24"/>
          <w:szCs w:val="24"/>
        </w:rPr>
        <w:t xml:space="preserve"> </w:t>
      </w:r>
      <w:r w:rsidR="00B84BA8" w:rsidRPr="00B84BA8">
        <w:rPr>
          <w:rFonts w:ascii="Times New Roman" w:hAnsi="Times New Roman" w:cs="Times New Roman"/>
          <w:sz w:val="24"/>
          <w:szCs w:val="24"/>
        </w:rPr>
        <w:t>e</w:t>
      </w:r>
      <w:r w:rsidR="001733DC" w:rsidRPr="00B84BA8">
        <w:rPr>
          <w:rFonts w:ascii="Times New Roman" w:hAnsi="Times New Roman" w:cs="Times New Roman"/>
          <w:sz w:val="24"/>
          <w:szCs w:val="24"/>
        </w:rPr>
        <w:t xml:space="preserve">mpresa en </w:t>
      </w:r>
      <w:r w:rsidR="001733DC" w:rsidRPr="00B84BA8">
        <w:rPr>
          <w:rStyle w:val="highlight"/>
          <w:rFonts w:ascii="Times New Roman" w:hAnsi="Times New Roman" w:cs="Times New Roman"/>
          <w:sz w:val="24"/>
          <w:szCs w:val="24"/>
        </w:rPr>
        <w:t>funcionamiento</w:t>
      </w:r>
      <w:r w:rsidR="00B84BA8" w:rsidRPr="00B84BA8">
        <w:rPr>
          <w:rStyle w:val="highlight"/>
          <w:rFonts w:ascii="Times New Roman" w:hAnsi="Times New Roman" w:cs="Times New Roman"/>
          <w:sz w:val="24"/>
          <w:szCs w:val="24"/>
        </w:rPr>
        <w:t xml:space="preserve">. </w:t>
      </w:r>
      <w:r w:rsidR="001733DC" w:rsidRPr="00B84BA8">
        <w:rPr>
          <w:rFonts w:ascii="Times New Roman" w:hAnsi="Times New Roman" w:cs="Times New Roman"/>
          <w:sz w:val="24"/>
          <w:szCs w:val="24"/>
        </w:rPr>
        <w:t>Al evaluar si una entidad es una empresa en marcha debe considerarse toda la información relevante disponible hasta la</w:t>
      </w:r>
      <w:r w:rsidR="000C5CCF">
        <w:rPr>
          <w:rFonts w:ascii="Times New Roman" w:hAnsi="Times New Roman" w:cs="Times New Roman"/>
          <w:sz w:val="24"/>
          <w:szCs w:val="24"/>
        </w:rPr>
        <w:t xml:space="preserve"> </w:t>
      </w:r>
      <w:r w:rsidR="001733DC" w:rsidRPr="00B84BA8">
        <w:rPr>
          <w:rFonts w:ascii="Times New Roman" w:hAnsi="Times New Roman" w:cs="Times New Roman"/>
          <w:sz w:val="24"/>
          <w:szCs w:val="24"/>
        </w:rPr>
        <w:t>fecha de emisión de los estados financieros. Los eventos que ocurrieron después de la fecha de cierre del ejercicio en</w:t>
      </w:r>
      <w:r w:rsidR="00B84BA8" w:rsidRPr="00B84BA8">
        <w:rPr>
          <w:rFonts w:ascii="Times New Roman" w:hAnsi="Times New Roman" w:cs="Times New Roman"/>
          <w:sz w:val="24"/>
          <w:szCs w:val="24"/>
        </w:rPr>
        <w:t xml:space="preserve"> </w:t>
      </w:r>
      <w:r w:rsidR="001733DC" w:rsidRPr="00B84BA8">
        <w:rPr>
          <w:rFonts w:ascii="Times New Roman" w:hAnsi="Times New Roman" w:cs="Times New Roman"/>
          <w:sz w:val="24"/>
          <w:szCs w:val="24"/>
        </w:rPr>
        <w:t xml:space="preserve">relación con el brote de coronavirus podrían haber causado un </w:t>
      </w:r>
      <w:r w:rsidR="001733DC" w:rsidRPr="00B84BA8">
        <w:rPr>
          <w:rFonts w:ascii="Times New Roman" w:hAnsi="Times New Roman" w:cs="Times New Roman"/>
          <w:sz w:val="24"/>
          <w:szCs w:val="24"/>
        </w:rPr>
        <w:lastRenderedPageBreak/>
        <w:t>deterioro significativo en las condiciones económicas de algunas entidades y un aumento de la incertidumbre económica para otra</w:t>
      </w:r>
      <w:r w:rsidR="00B84BA8" w:rsidRPr="00B84BA8">
        <w:rPr>
          <w:rFonts w:ascii="Times New Roman" w:hAnsi="Times New Roman" w:cs="Times New Roman"/>
          <w:sz w:val="24"/>
          <w:szCs w:val="24"/>
        </w:rPr>
        <w:t>s.</w:t>
      </w:r>
    </w:p>
    <w:p w:rsidR="00B84BA8" w:rsidRPr="00B84BA8" w:rsidRDefault="00B84BA8" w:rsidP="000E2625">
      <w:pPr>
        <w:jc w:val="both"/>
        <w:rPr>
          <w:rFonts w:ascii="Times New Roman" w:hAnsi="Times New Roman" w:cs="Times New Roman"/>
          <w:sz w:val="24"/>
          <w:szCs w:val="24"/>
        </w:rPr>
      </w:pPr>
      <w:r w:rsidRPr="00B84BA8">
        <w:rPr>
          <w:rFonts w:ascii="Times New Roman" w:hAnsi="Times New Roman" w:cs="Times New Roman"/>
          <w:sz w:val="24"/>
          <w:szCs w:val="24"/>
        </w:rPr>
        <w:t>La gerencia puede necesitar evaluar si estos eventos o condiciones, individual o colectivamente, arrojan dudas significativas sobre la capacidad de la entidad para continuar como un negocio en marcha, o en casos severos, si el supuesto de negocio en marcha sigue siendo apropiado como base para la preparación de los estados financieros de la entidad. En base a este análisis l</w:t>
      </w:r>
      <w:r w:rsidR="001733DC" w:rsidRPr="00B84BA8">
        <w:rPr>
          <w:rFonts w:ascii="Times New Roman" w:hAnsi="Times New Roman" w:cs="Times New Roman"/>
          <w:sz w:val="24"/>
          <w:szCs w:val="24"/>
        </w:rPr>
        <w:t>a Dirección de la sociedad puede concluir que aún es apropiado que las cuentas anuales se preparen bajo el principio de</w:t>
      </w:r>
      <w:r w:rsidRPr="00B84BA8">
        <w:rPr>
          <w:rFonts w:ascii="Times New Roman" w:hAnsi="Times New Roman" w:cs="Times New Roman"/>
          <w:sz w:val="24"/>
          <w:szCs w:val="24"/>
        </w:rPr>
        <w:t xml:space="preserve"> </w:t>
      </w:r>
      <w:r w:rsidR="001733DC" w:rsidRPr="00B84BA8">
        <w:rPr>
          <w:rFonts w:ascii="Times New Roman" w:hAnsi="Times New Roman" w:cs="Times New Roman"/>
          <w:sz w:val="24"/>
          <w:szCs w:val="24"/>
        </w:rPr>
        <w:t xml:space="preserve">empresa en </w:t>
      </w:r>
      <w:r w:rsidR="001733DC" w:rsidRPr="00B84BA8">
        <w:rPr>
          <w:rStyle w:val="highlight"/>
          <w:rFonts w:ascii="Times New Roman" w:hAnsi="Times New Roman" w:cs="Times New Roman"/>
          <w:sz w:val="24"/>
          <w:szCs w:val="24"/>
        </w:rPr>
        <w:t>funcionamiento</w:t>
      </w:r>
      <w:r w:rsidR="001733DC" w:rsidRPr="00B84BA8">
        <w:rPr>
          <w:rFonts w:ascii="Times New Roman" w:hAnsi="Times New Roman" w:cs="Times New Roman"/>
          <w:sz w:val="24"/>
          <w:szCs w:val="24"/>
        </w:rPr>
        <w:t>, pero que las implicaciones del brote de coronavirus son tales que existen o pueden existir</w:t>
      </w:r>
      <w:r w:rsidRPr="00B84BA8">
        <w:rPr>
          <w:rFonts w:ascii="Times New Roman" w:hAnsi="Times New Roman" w:cs="Times New Roman"/>
          <w:sz w:val="24"/>
          <w:szCs w:val="24"/>
        </w:rPr>
        <w:t xml:space="preserve"> </w:t>
      </w:r>
      <w:r w:rsidR="001733DC" w:rsidRPr="00B84BA8">
        <w:rPr>
          <w:rFonts w:ascii="Times New Roman" w:hAnsi="Times New Roman" w:cs="Times New Roman"/>
          <w:sz w:val="24"/>
          <w:szCs w:val="24"/>
        </w:rPr>
        <w:t xml:space="preserve">dudas significativas sobre la capacidad de una entidad para continuar como empresa en </w:t>
      </w:r>
      <w:r w:rsidR="001733DC" w:rsidRPr="00B84BA8">
        <w:rPr>
          <w:rStyle w:val="highlight"/>
          <w:rFonts w:ascii="Times New Roman" w:hAnsi="Times New Roman" w:cs="Times New Roman"/>
          <w:sz w:val="24"/>
          <w:szCs w:val="24"/>
        </w:rPr>
        <w:t>funcionamiento</w:t>
      </w:r>
      <w:r w:rsidR="001733DC" w:rsidRPr="00B84BA8">
        <w:rPr>
          <w:rFonts w:ascii="Times New Roman" w:hAnsi="Times New Roman" w:cs="Times New Roman"/>
          <w:sz w:val="24"/>
          <w:szCs w:val="24"/>
        </w:rPr>
        <w:t>. En estos casos,</w:t>
      </w:r>
      <w:r w:rsidRPr="00B84BA8">
        <w:rPr>
          <w:rFonts w:ascii="Times New Roman" w:hAnsi="Times New Roman" w:cs="Times New Roman"/>
          <w:sz w:val="24"/>
          <w:szCs w:val="24"/>
        </w:rPr>
        <w:t xml:space="preserve"> </w:t>
      </w:r>
      <w:r w:rsidR="001733DC" w:rsidRPr="00B84BA8">
        <w:rPr>
          <w:rFonts w:ascii="Times New Roman" w:hAnsi="Times New Roman" w:cs="Times New Roman"/>
          <w:sz w:val="24"/>
          <w:szCs w:val="24"/>
        </w:rPr>
        <w:t>cuando la Dirección es conocedora de las incertidumbres materiales que generan una duda significativa sobre la capacidad</w:t>
      </w:r>
      <w:r w:rsidRPr="00B84BA8">
        <w:rPr>
          <w:rFonts w:ascii="Times New Roman" w:hAnsi="Times New Roman" w:cs="Times New Roman"/>
          <w:sz w:val="24"/>
          <w:szCs w:val="24"/>
        </w:rPr>
        <w:t xml:space="preserve"> </w:t>
      </w:r>
      <w:r w:rsidR="001733DC" w:rsidRPr="00B84BA8">
        <w:rPr>
          <w:rFonts w:ascii="Times New Roman" w:hAnsi="Times New Roman" w:cs="Times New Roman"/>
          <w:sz w:val="24"/>
          <w:szCs w:val="24"/>
        </w:rPr>
        <w:t xml:space="preserve">de la entidad para continuar como empresa en </w:t>
      </w:r>
      <w:r w:rsidR="001733DC" w:rsidRPr="00B84BA8">
        <w:rPr>
          <w:rStyle w:val="highlight"/>
          <w:rFonts w:ascii="Times New Roman" w:hAnsi="Times New Roman" w:cs="Times New Roman"/>
          <w:sz w:val="24"/>
          <w:szCs w:val="24"/>
        </w:rPr>
        <w:t>funcionamiento</w:t>
      </w:r>
      <w:r w:rsidR="001733DC" w:rsidRPr="00B84BA8">
        <w:rPr>
          <w:rFonts w:ascii="Times New Roman" w:hAnsi="Times New Roman" w:cs="Times New Roman"/>
          <w:sz w:val="24"/>
          <w:szCs w:val="24"/>
        </w:rPr>
        <w:t>, o cuando la conclusión de que el supuesto de negocio en</w:t>
      </w:r>
      <w:r w:rsidRPr="00B84BA8">
        <w:rPr>
          <w:rFonts w:ascii="Times New Roman" w:hAnsi="Times New Roman" w:cs="Times New Roman"/>
          <w:sz w:val="24"/>
          <w:szCs w:val="24"/>
        </w:rPr>
        <w:t xml:space="preserve"> </w:t>
      </w:r>
      <w:r w:rsidR="001733DC" w:rsidRPr="00B84BA8">
        <w:rPr>
          <w:rFonts w:ascii="Times New Roman" w:hAnsi="Times New Roman" w:cs="Times New Roman"/>
          <w:sz w:val="24"/>
          <w:szCs w:val="24"/>
        </w:rPr>
        <w:t>marcha sea apropiado ha requerido un juicio significativo, debe incluirse revelación adecuada en la memoria de las cuentas</w:t>
      </w:r>
      <w:r w:rsidRPr="00B84BA8">
        <w:rPr>
          <w:rFonts w:ascii="Times New Roman" w:hAnsi="Times New Roman" w:cs="Times New Roman"/>
          <w:sz w:val="24"/>
          <w:szCs w:val="24"/>
        </w:rPr>
        <w:t xml:space="preserve"> </w:t>
      </w:r>
      <w:r w:rsidR="001733DC" w:rsidRPr="00B84BA8">
        <w:rPr>
          <w:rFonts w:ascii="Times New Roman" w:hAnsi="Times New Roman" w:cs="Times New Roman"/>
          <w:sz w:val="24"/>
          <w:szCs w:val="24"/>
        </w:rPr>
        <w:t>anuales.</w:t>
      </w:r>
      <w:r w:rsidRPr="00B84BA8">
        <w:rPr>
          <w:rFonts w:ascii="Times New Roman" w:hAnsi="Times New Roman" w:cs="Times New Roman"/>
          <w:sz w:val="24"/>
          <w:szCs w:val="24"/>
        </w:rPr>
        <w:t xml:space="preserve"> </w:t>
      </w:r>
    </w:p>
    <w:p w:rsidR="00E645F3" w:rsidRDefault="001733DC" w:rsidP="000E2625">
      <w:pPr>
        <w:jc w:val="both"/>
        <w:rPr>
          <w:rFonts w:ascii="Times New Roman" w:hAnsi="Times New Roman" w:cs="Times New Roman"/>
          <w:sz w:val="24"/>
          <w:szCs w:val="24"/>
        </w:rPr>
      </w:pPr>
      <w:r w:rsidRPr="00B84BA8">
        <w:rPr>
          <w:rFonts w:ascii="Times New Roman" w:hAnsi="Times New Roman" w:cs="Times New Roman"/>
          <w:sz w:val="24"/>
          <w:szCs w:val="24"/>
        </w:rPr>
        <w:t>M</w:t>
      </w:r>
      <w:r w:rsidR="00B84BA8" w:rsidRPr="00B84BA8">
        <w:rPr>
          <w:rFonts w:ascii="Times New Roman" w:hAnsi="Times New Roman" w:cs="Times New Roman"/>
          <w:sz w:val="24"/>
          <w:szCs w:val="24"/>
        </w:rPr>
        <w:t>uchos de estos aspectos</w:t>
      </w:r>
      <w:r w:rsidRPr="00B84BA8">
        <w:rPr>
          <w:rFonts w:ascii="Times New Roman" w:hAnsi="Times New Roman" w:cs="Times New Roman"/>
          <w:sz w:val="24"/>
          <w:szCs w:val="24"/>
        </w:rPr>
        <w:t xml:space="preserve"> pueden ocasionar, en circunstancias extremas,</w:t>
      </w:r>
      <w:r w:rsidR="00B84BA8" w:rsidRPr="00B84BA8">
        <w:rPr>
          <w:rFonts w:ascii="Times New Roman" w:hAnsi="Times New Roman" w:cs="Times New Roman"/>
          <w:sz w:val="24"/>
          <w:szCs w:val="24"/>
        </w:rPr>
        <w:t xml:space="preserve"> </w:t>
      </w:r>
      <w:r w:rsidRPr="00B84BA8">
        <w:rPr>
          <w:rFonts w:ascii="Times New Roman" w:hAnsi="Times New Roman" w:cs="Times New Roman"/>
          <w:sz w:val="24"/>
          <w:szCs w:val="24"/>
        </w:rPr>
        <w:t>dudas sobre la continuidad de la empresa. El auditor deberá cerciorarse de que la sociedad tiene razonablemente asegurada</w:t>
      </w:r>
      <w:r w:rsidR="00B84BA8" w:rsidRPr="00B84BA8">
        <w:rPr>
          <w:rFonts w:ascii="Times New Roman" w:hAnsi="Times New Roman" w:cs="Times New Roman"/>
          <w:sz w:val="24"/>
          <w:szCs w:val="24"/>
        </w:rPr>
        <w:t xml:space="preserve"> </w:t>
      </w:r>
      <w:r w:rsidRPr="00B84BA8">
        <w:rPr>
          <w:rFonts w:ascii="Times New Roman" w:hAnsi="Times New Roman" w:cs="Times New Roman"/>
          <w:sz w:val="24"/>
          <w:szCs w:val="24"/>
        </w:rPr>
        <w:t>su continuidad hasta la siguiente formulación de sus cuentas anuales. Si con anterioridad a la epidemia ya existían dudas</w:t>
      </w:r>
      <w:r w:rsidR="00B84BA8" w:rsidRPr="00B84BA8">
        <w:rPr>
          <w:rFonts w:ascii="Times New Roman" w:hAnsi="Times New Roman" w:cs="Times New Roman"/>
          <w:sz w:val="24"/>
          <w:szCs w:val="24"/>
        </w:rPr>
        <w:t xml:space="preserve"> </w:t>
      </w:r>
      <w:r w:rsidRPr="00B84BA8">
        <w:rPr>
          <w:rFonts w:ascii="Times New Roman" w:hAnsi="Times New Roman" w:cs="Times New Roman"/>
          <w:sz w:val="24"/>
          <w:szCs w:val="24"/>
        </w:rPr>
        <w:t>sobre la viabilidad de la compañía, el auditor deberá acentuar su escepticismo profesional al respecto.</w:t>
      </w:r>
      <w:r w:rsidR="00B84BA8" w:rsidRPr="00B84BA8">
        <w:rPr>
          <w:rFonts w:ascii="Times New Roman" w:hAnsi="Times New Roman" w:cs="Times New Roman"/>
          <w:sz w:val="24"/>
          <w:szCs w:val="24"/>
        </w:rPr>
        <w:t xml:space="preserve"> </w:t>
      </w:r>
      <w:r w:rsidRPr="00B84BA8">
        <w:rPr>
          <w:rFonts w:ascii="Times New Roman" w:hAnsi="Times New Roman" w:cs="Times New Roman"/>
          <w:sz w:val="24"/>
          <w:szCs w:val="24"/>
        </w:rPr>
        <w:t>Es posible que en muchos informes de auditoría esta circunstancia dé lugar a la incorporación de una Cuestión Clave de</w:t>
      </w:r>
      <w:r w:rsidR="00B84BA8" w:rsidRPr="00B84BA8">
        <w:rPr>
          <w:rFonts w:ascii="Times New Roman" w:hAnsi="Times New Roman" w:cs="Times New Roman"/>
          <w:sz w:val="24"/>
          <w:szCs w:val="24"/>
        </w:rPr>
        <w:t xml:space="preserve"> </w:t>
      </w:r>
      <w:r w:rsidRPr="00B84BA8">
        <w:rPr>
          <w:rFonts w:ascii="Times New Roman" w:hAnsi="Times New Roman" w:cs="Times New Roman"/>
          <w:sz w:val="24"/>
          <w:szCs w:val="24"/>
        </w:rPr>
        <w:t>la Auditoría (si se trata de una EIP) o a un AMRA (en el caso de Entidades no EIP), e incluso en algunos casos originará la</w:t>
      </w:r>
      <w:r w:rsidR="00B84BA8" w:rsidRPr="00B84BA8">
        <w:rPr>
          <w:rFonts w:ascii="Times New Roman" w:hAnsi="Times New Roman" w:cs="Times New Roman"/>
          <w:sz w:val="24"/>
          <w:szCs w:val="24"/>
        </w:rPr>
        <w:t xml:space="preserve"> </w:t>
      </w:r>
      <w:r w:rsidRPr="00B84BA8">
        <w:rPr>
          <w:rFonts w:ascii="Times New Roman" w:hAnsi="Times New Roman" w:cs="Times New Roman"/>
          <w:sz w:val="24"/>
          <w:szCs w:val="24"/>
        </w:rPr>
        <w:t xml:space="preserve">necesidad de incluir una sección por incertidumbre en la aplicación del principio de empresa en </w:t>
      </w:r>
      <w:r w:rsidRPr="00B84BA8">
        <w:rPr>
          <w:rStyle w:val="highlight"/>
          <w:rFonts w:ascii="Times New Roman" w:hAnsi="Times New Roman" w:cs="Times New Roman"/>
          <w:sz w:val="24"/>
          <w:szCs w:val="24"/>
        </w:rPr>
        <w:t>funcionamiento</w:t>
      </w:r>
      <w:r w:rsidRPr="00B84BA8">
        <w:rPr>
          <w:rFonts w:ascii="Times New Roman" w:hAnsi="Times New Roman" w:cs="Times New Roman"/>
          <w:sz w:val="24"/>
          <w:szCs w:val="24"/>
        </w:rPr>
        <w:t>.</w:t>
      </w:r>
    </w:p>
    <w:p w:rsidR="00CD50CB" w:rsidRPr="000E2625" w:rsidRDefault="00CD50CB" w:rsidP="000E2625">
      <w:pPr>
        <w:jc w:val="both"/>
        <w:rPr>
          <w:rStyle w:val="link-image"/>
          <w:rFonts w:ascii="Times New Roman" w:hAnsi="Times New Roman" w:cs="Times New Roman"/>
          <w:sz w:val="24"/>
          <w:szCs w:val="24"/>
        </w:rPr>
      </w:pPr>
      <w:r>
        <w:rPr>
          <w:rFonts w:ascii="Times New Roman" w:hAnsi="Times New Roman" w:cs="Times New Roman"/>
          <w:sz w:val="24"/>
          <w:szCs w:val="24"/>
        </w:rPr>
        <w:t>En el caso que nos ocupa, parece que se ha optado por esta última opción</w:t>
      </w:r>
      <w:r w:rsidR="002A183B">
        <w:rPr>
          <w:rFonts w:ascii="Times New Roman" w:hAnsi="Times New Roman" w:cs="Times New Roman"/>
          <w:sz w:val="24"/>
          <w:szCs w:val="24"/>
        </w:rPr>
        <w:t xml:space="preserve">, es decir </w:t>
      </w:r>
      <w:r w:rsidR="002A183B" w:rsidRPr="000F1E86">
        <w:rPr>
          <w:rFonts w:ascii="Times New Roman" w:hAnsi="Times New Roman" w:cs="Times New Roman"/>
          <w:sz w:val="24"/>
          <w:szCs w:val="24"/>
        </w:rPr>
        <w:t xml:space="preserve">se considera que </w:t>
      </w:r>
      <w:r w:rsidR="002A183B" w:rsidRPr="00EC519E">
        <w:rPr>
          <w:rStyle w:val="txtbold"/>
          <w:rFonts w:ascii="Times New Roman" w:hAnsi="Times New Roman" w:cs="Times New Roman"/>
          <w:b/>
          <w:sz w:val="24"/>
          <w:szCs w:val="24"/>
        </w:rPr>
        <w:t xml:space="preserve">no es probable que </w:t>
      </w:r>
      <w:r w:rsidR="002A183B">
        <w:rPr>
          <w:rStyle w:val="txtbold"/>
          <w:rFonts w:ascii="Times New Roman" w:hAnsi="Times New Roman" w:cs="Times New Roman"/>
          <w:b/>
          <w:sz w:val="24"/>
          <w:szCs w:val="24"/>
        </w:rPr>
        <w:t xml:space="preserve">la sociedad </w:t>
      </w:r>
      <w:r w:rsidR="002A183B" w:rsidRPr="00EC519E">
        <w:rPr>
          <w:rStyle w:val="txtbold"/>
          <w:rFonts w:ascii="Times New Roman" w:hAnsi="Times New Roman" w:cs="Times New Roman"/>
          <w:b/>
          <w:sz w:val="24"/>
          <w:szCs w:val="24"/>
        </w:rPr>
        <w:t>disponga de ganancias fiscales</w:t>
      </w:r>
      <w:r w:rsidR="002A183B" w:rsidRPr="00EC519E">
        <w:rPr>
          <w:rFonts w:ascii="Times New Roman" w:hAnsi="Times New Roman" w:cs="Times New Roman"/>
          <w:b/>
          <w:sz w:val="24"/>
          <w:szCs w:val="24"/>
        </w:rPr>
        <w:t xml:space="preserve"> futuras</w:t>
      </w:r>
      <w:r w:rsidR="002A183B">
        <w:rPr>
          <w:rFonts w:ascii="Times New Roman" w:hAnsi="Times New Roman" w:cs="Times New Roman"/>
          <w:sz w:val="24"/>
          <w:szCs w:val="24"/>
        </w:rPr>
        <w:t xml:space="preserve"> </w:t>
      </w:r>
      <w:r w:rsidR="002A183B" w:rsidRPr="002A183B">
        <w:rPr>
          <w:rFonts w:ascii="Times New Roman" w:hAnsi="Times New Roman" w:cs="Times New Roman"/>
          <w:b/>
          <w:sz w:val="24"/>
          <w:szCs w:val="24"/>
        </w:rPr>
        <w:t>que permita la recuperación de estos activos</w:t>
      </w:r>
      <w:r w:rsidR="002A183B">
        <w:rPr>
          <w:rFonts w:ascii="Times New Roman" w:hAnsi="Times New Roman" w:cs="Times New Roman"/>
          <w:b/>
          <w:sz w:val="24"/>
          <w:szCs w:val="24"/>
        </w:rPr>
        <w:t xml:space="preserve"> por impuestos diferidos. </w:t>
      </w:r>
      <w:r w:rsidR="000E2625">
        <w:rPr>
          <w:rFonts w:ascii="Times New Roman" w:hAnsi="Times New Roman" w:cs="Times New Roman"/>
          <w:sz w:val="24"/>
          <w:szCs w:val="24"/>
        </w:rPr>
        <w:t xml:space="preserve">Requisito este último que como ya hemos mencionado en la primera parte de esta consulta es indispensable para el reconocimiento de este activo. </w:t>
      </w:r>
    </w:p>
    <w:p w:rsidR="00603638" w:rsidRPr="0044763B" w:rsidRDefault="00603638" w:rsidP="000E2625">
      <w:pPr>
        <w:jc w:val="both"/>
        <w:rPr>
          <w:rFonts w:ascii="Times New Roman" w:hAnsi="Times New Roman" w:cs="Times New Roman"/>
          <w:sz w:val="24"/>
          <w:szCs w:val="24"/>
        </w:rPr>
      </w:pPr>
    </w:p>
    <w:sectPr w:rsidR="00603638" w:rsidRPr="0044763B" w:rsidSect="004A276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B8" w:rsidRDefault="003F7CB8" w:rsidP="0044763B">
      <w:pPr>
        <w:spacing w:after="0" w:line="240" w:lineRule="auto"/>
      </w:pPr>
      <w:r>
        <w:separator/>
      </w:r>
    </w:p>
  </w:endnote>
  <w:endnote w:type="continuationSeparator" w:id="0">
    <w:p w:rsidR="003F7CB8" w:rsidRDefault="003F7CB8" w:rsidP="00447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B8" w:rsidRDefault="003F7CB8" w:rsidP="0044763B">
      <w:pPr>
        <w:spacing w:after="0" w:line="240" w:lineRule="auto"/>
      </w:pPr>
      <w:r>
        <w:separator/>
      </w:r>
    </w:p>
  </w:footnote>
  <w:footnote w:type="continuationSeparator" w:id="0">
    <w:p w:rsidR="003F7CB8" w:rsidRDefault="003F7CB8" w:rsidP="00447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A34"/>
    <w:multiLevelType w:val="hybridMultilevel"/>
    <w:tmpl w:val="413E42BC"/>
    <w:lvl w:ilvl="0" w:tplc="3D7AC3F0">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2D6BAD"/>
    <w:multiLevelType w:val="hybridMultilevel"/>
    <w:tmpl w:val="B104659E"/>
    <w:lvl w:ilvl="0" w:tplc="DEDA0B2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3A100B"/>
    <w:multiLevelType w:val="hybridMultilevel"/>
    <w:tmpl w:val="82686F9A"/>
    <w:lvl w:ilvl="0" w:tplc="D3B6955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4D9D"/>
    <w:rsid w:val="000C4820"/>
    <w:rsid w:val="000C5CCF"/>
    <w:rsid w:val="000E2625"/>
    <w:rsid w:val="000F1E86"/>
    <w:rsid w:val="001054E0"/>
    <w:rsid w:val="001331DF"/>
    <w:rsid w:val="001733DC"/>
    <w:rsid w:val="002A183B"/>
    <w:rsid w:val="002C0EE8"/>
    <w:rsid w:val="003F7CB8"/>
    <w:rsid w:val="0044763B"/>
    <w:rsid w:val="004A2761"/>
    <w:rsid w:val="0056616C"/>
    <w:rsid w:val="005B0F48"/>
    <w:rsid w:val="00603638"/>
    <w:rsid w:val="00AA62FA"/>
    <w:rsid w:val="00B84BA8"/>
    <w:rsid w:val="00BE4D9D"/>
    <w:rsid w:val="00CD50CB"/>
    <w:rsid w:val="00E645F3"/>
    <w:rsid w:val="00EA15BC"/>
    <w:rsid w:val="00EC519E"/>
    <w:rsid w:val="00FE51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xtbold">
    <w:name w:val="txtbold"/>
    <w:basedOn w:val="Fuentedeprrafopredeter"/>
    <w:rsid w:val="001331DF"/>
  </w:style>
  <w:style w:type="character" w:customStyle="1" w:styleId="link-image">
    <w:name w:val="link-image"/>
    <w:basedOn w:val="Fuentedeprrafopredeter"/>
    <w:rsid w:val="000C4820"/>
  </w:style>
  <w:style w:type="character" w:styleId="Hipervnculo">
    <w:name w:val="Hyperlink"/>
    <w:basedOn w:val="Fuentedeprrafopredeter"/>
    <w:uiPriority w:val="99"/>
    <w:unhideWhenUsed/>
    <w:rsid w:val="000C4820"/>
    <w:rPr>
      <w:color w:val="0000FF"/>
      <w:u w:val="single"/>
    </w:rPr>
  </w:style>
  <w:style w:type="paragraph" w:styleId="Prrafodelista">
    <w:name w:val="List Paragraph"/>
    <w:basedOn w:val="Normal"/>
    <w:uiPriority w:val="34"/>
    <w:qFormat/>
    <w:rsid w:val="000F1E86"/>
    <w:pPr>
      <w:ind w:left="720"/>
      <w:contextualSpacing/>
    </w:pPr>
  </w:style>
  <w:style w:type="character" w:customStyle="1" w:styleId="highlight">
    <w:name w:val="highlight"/>
    <w:basedOn w:val="Fuentedeprrafopredeter"/>
    <w:rsid w:val="00EA15BC"/>
  </w:style>
</w:styles>
</file>

<file path=word/webSettings.xml><?xml version="1.0" encoding="utf-8"?>
<w:webSettings xmlns:r="http://schemas.openxmlformats.org/officeDocument/2006/relationships" xmlns:w="http://schemas.openxmlformats.org/wordprocessingml/2006/main">
  <w:divs>
    <w:div w:id="698168799">
      <w:bodyDiv w:val="1"/>
      <w:marLeft w:val="0"/>
      <w:marRight w:val="0"/>
      <w:marTop w:val="0"/>
      <w:marBottom w:val="0"/>
      <w:divBdr>
        <w:top w:val="none" w:sz="0" w:space="0" w:color="auto"/>
        <w:left w:val="none" w:sz="0" w:space="0" w:color="auto"/>
        <w:bottom w:val="none" w:sz="0" w:space="0" w:color="auto"/>
        <w:right w:val="none" w:sz="0" w:space="0" w:color="auto"/>
      </w:divBdr>
      <w:divsChild>
        <w:div w:id="1322080375">
          <w:marLeft w:val="0"/>
          <w:marRight w:val="0"/>
          <w:marTop w:val="0"/>
          <w:marBottom w:val="0"/>
          <w:divBdr>
            <w:top w:val="none" w:sz="0" w:space="0" w:color="auto"/>
            <w:left w:val="none" w:sz="0" w:space="0" w:color="auto"/>
            <w:bottom w:val="none" w:sz="0" w:space="0" w:color="auto"/>
            <w:right w:val="none" w:sz="0" w:space="0" w:color="auto"/>
          </w:divBdr>
        </w:div>
        <w:div w:id="1198086348">
          <w:marLeft w:val="0"/>
          <w:marRight w:val="0"/>
          <w:marTop w:val="0"/>
          <w:marBottom w:val="0"/>
          <w:divBdr>
            <w:top w:val="none" w:sz="0" w:space="0" w:color="auto"/>
            <w:left w:val="none" w:sz="0" w:space="0" w:color="auto"/>
            <w:bottom w:val="none" w:sz="0" w:space="0" w:color="auto"/>
            <w:right w:val="none" w:sz="0" w:space="0" w:color="auto"/>
          </w:divBdr>
          <w:divsChild>
            <w:div w:id="1034841544">
              <w:marLeft w:val="0"/>
              <w:marRight w:val="0"/>
              <w:marTop w:val="0"/>
              <w:marBottom w:val="0"/>
              <w:divBdr>
                <w:top w:val="none" w:sz="0" w:space="0" w:color="auto"/>
                <w:left w:val="none" w:sz="0" w:space="0" w:color="auto"/>
                <w:bottom w:val="none" w:sz="0" w:space="0" w:color="auto"/>
                <w:right w:val="none" w:sz="0" w:space="0" w:color="auto"/>
              </w:divBdr>
              <w:divsChild>
                <w:div w:id="1980843699">
                  <w:marLeft w:val="0"/>
                  <w:marRight w:val="0"/>
                  <w:marTop w:val="0"/>
                  <w:marBottom w:val="0"/>
                  <w:divBdr>
                    <w:top w:val="none" w:sz="0" w:space="0" w:color="auto"/>
                    <w:left w:val="none" w:sz="0" w:space="0" w:color="auto"/>
                    <w:bottom w:val="none" w:sz="0" w:space="0" w:color="auto"/>
                    <w:right w:val="none" w:sz="0" w:space="0" w:color="auto"/>
                  </w:divBdr>
                </w:div>
                <w:div w:id="1708680366">
                  <w:marLeft w:val="0"/>
                  <w:marRight w:val="0"/>
                  <w:marTop w:val="0"/>
                  <w:marBottom w:val="0"/>
                  <w:divBdr>
                    <w:top w:val="none" w:sz="0" w:space="0" w:color="auto"/>
                    <w:left w:val="none" w:sz="0" w:space="0" w:color="auto"/>
                    <w:bottom w:val="none" w:sz="0" w:space="0" w:color="auto"/>
                    <w:right w:val="none" w:sz="0" w:space="0" w:color="auto"/>
                  </w:divBdr>
                </w:div>
                <w:div w:id="203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4672">
          <w:marLeft w:val="0"/>
          <w:marRight w:val="0"/>
          <w:marTop w:val="0"/>
          <w:marBottom w:val="0"/>
          <w:divBdr>
            <w:top w:val="none" w:sz="0" w:space="0" w:color="auto"/>
            <w:left w:val="none" w:sz="0" w:space="0" w:color="auto"/>
            <w:bottom w:val="none" w:sz="0" w:space="0" w:color="auto"/>
            <w:right w:val="none" w:sz="0" w:space="0" w:color="auto"/>
          </w:divBdr>
        </w:div>
        <w:div w:id="1059940130">
          <w:marLeft w:val="0"/>
          <w:marRight w:val="0"/>
          <w:marTop w:val="0"/>
          <w:marBottom w:val="0"/>
          <w:divBdr>
            <w:top w:val="none" w:sz="0" w:space="0" w:color="auto"/>
            <w:left w:val="none" w:sz="0" w:space="0" w:color="auto"/>
            <w:bottom w:val="none" w:sz="0" w:space="0" w:color="auto"/>
            <w:right w:val="none" w:sz="0" w:space="0" w:color="auto"/>
          </w:divBdr>
        </w:div>
      </w:divsChild>
    </w:div>
    <w:div w:id="2018922595">
      <w:bodyDiv w:val="1"/>
      <w:marLeft w:val="0"/>
      <w:marRight w:val="0"/>
      <w:marTop w:val="0"/>
      <w:marBottom w:val="0"/>
      <w:divBdr>
        <w:top w:val="none" w:sz="0" w:space="0" w:color="auto"/>
        <w:left w:val="none" w:sz="0" w:space="0" w:color="auto"/>
        <w:bottom w:val="none" w:sz="0" w:space="0" w:color="auto"/>
        <w:right w:val="none" w:sz="0" w:space="0" w:color="auto"/>
      </w:divBdr>
      <w:divsChild>
        <w:div w:id="804009769">
          <w:marLeft w:val="0"/>
          <w:marRight w:val="0"/>
          <w:marTop w:val="0"/>
          <w:marBottom w:val="0"/>
          <w:divBdr>
            <w:top w:val="none" w:sz="0" w:space="0" w:color="auto"/>
            <w:left w:val="none" w:sz="0" w:space="0" w:color="auto"/>
            <w:bottom w:val="none" w:sz="0" w:space="0" w:color="auto"/>
            <w:right w:val="none" w:sz="0" w:space="0" w:color="auto"/>
          </w:divBdr>
        </w:div>
        <w:div w:id="104153856">
          <w:marLeft w:val="0"/>
          <w:marRight w:val="0"/>
          <w:marTop w:val="0"/>
          <w:marBottom w:val="0"/>
          <w:divBdr>
            <w:top w:val="none" w:sz="0" w:space="0" w:color="auto"/>
            <w:left w:val="none" w:sz="0" w:space="0" w:color="auto"/>
            <w:bottom w:val="none" w:sz="0" w:space="0" w:color="auto"/>
            <w:right w:val="none" w:sz="0" w:space="0" w:color="auto"/>
          </w:divBdr>
          <w:divsChild>
            <w:div w:id="972909102">
              <w:marLeft w:val="0"/>
              <w:marRight w:val="0"/>
              <w:marTop w:val="0"/>
              <w:marBottom w:val="0"/>
              <w:divBdr>
                <w:top w:val="none" w:sz="0" w:space="0" w:color="auto"/>
                <w:left w:val="none" w:sz="0" w:space="0" w:color="auto"/>
                <w:bottom w:val="none" w:sz="0" w:space="0" w:color="auto"/>
                <w:right w:val="none" w:sz="0" w:space="0" w:color="auto"/>
              </w:divBdr>
              <w:divsChild>
                <w:div w:id="845438951">
                  <w:marLeft w:val="0"/>
                  <w:marRight w:val="0"/>
                  <w:marTop w:val="0"/>
                  <w:marBottom w:val="0"/>
                  <w:divBdr>
                    <w:top w:val="none" w:sz="0" w:space="0" w:color="auto"/>
                    <w:left w:val="none" w:sz="0" w:space="0" w:color="auto"/>
                    <w:bottom w:val="none" w:sz="0" w:space="0" w:color="auto"/>
                    <w:right w:val="none" w:sz="0" w:space="0" w:color="auto"/>
                  </w:divBdr>
                </w:div>
                <w:div w:id="10346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a.economistas.es/wp-content/uploads/sites/3/2020/03/REA-CDT1023103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1307</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840</dc:creator>
  <cp:lastModifiedBy>Hp 840</cp:lastModifiedBy>
  <cp:revision>13</cp:revision>
  <dcterms:created xsi:type="dcterms:W3CDTF">2020-04-02T07:14:00Z</dcterms:created>
  <dcterms:modified xsi:type="dcterms:W3CDTF">2020-04-02T09:15:00Z</dcterms:modified>
</cp:coreProperties>
</file>